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1140"/>
        <w:gridCol w:w="1178"/>
        <w:gridCol w:w="2378"/>
        <w:gridCol w:w="2372"/>
        <w:gridCol w:w="914"/>
      </w:tblGrid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其它要求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B05D4C">
              <w:rPr>
                <w:rFonts w:ascii="Arial" w:eastAsia="宋体" w:hAnsi="Arial" w:cs="Arial"/>
                <w:b/>
                <w:bCs/>
                <w:color w:val="000000"/>
                <w:sz w:val="21"/>
                <w:szCs w:val="21"/>
              </w:rPr>
              <w:t>计划人数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急诊内科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急诊医学、内科学、重症医学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高压氧室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内科学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内分泌科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内科学（内分泌方向）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有住培证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心血管内科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内科学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神经内科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神经病学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重症医学科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内科学、麻醉学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有住培证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CCCCCC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麻醉科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麻醉学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有执业医师资格证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胸外科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外科学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泌尿外科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外科学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骨科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外科学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发表过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SCI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文章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皮肤科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皮肤病与性病学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6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眼科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眼科学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参加过省级课题，发表过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SCI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文章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眼科学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学科带头人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妇产科学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妇产科学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儿科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儿科学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超声科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影像医学与核医学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6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介入科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影像医学与核医学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有从事超声、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MR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、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CT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、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DSA</w:t>
            </w: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介入相关工作经验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放射影像科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影像医学与核医学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有执业医师资格证、住培证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办公室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中文相关专业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医务科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社会医学与卫生事业管理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门诊部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流行病与卫生统计学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质控办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流行病与卫生统计学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感染管理科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流行病与卫生统计学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6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科教科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硕士及以上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流行病与卫生统计学、社会医学与卫生事业管理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人力资源部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财务科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具有初级会计职称资格证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B05D4C" w:rsidRPr="00B05D4C" w:rsidTr="00B05D4C">
        <w:trPr>
          <w:trHeight w:val="28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信息科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计算机软件及理论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宋体" w:eastAsia="宋体" w:hAnsi="宋体" w:cs="宋体" w:hint="eastAsia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05D4C" w:rsidRPr="00B05D4C" w:rsidRDefault="00B05D4C" w:rsidP="00B05D4C">
            <w:pPr>
              <w:adjustRightInd/>
              <w:snapToGrid/>
              <w:spacing w:after="0" w:line="39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B05D4C">
              <w:rPr>
                <w:rFonts w:ascii="Arial" w:eastAsia="宋体" w:hAnsi="Arial" w:cs="Arial"/>
                <w:color w:val="000000"/>
                <w:sz w:val="21"/>
                <w:szCs w:val="21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05D4C"/>
    <w:rsid w:val="00D31D50"/>
    <w:rsid w:val="00F5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2018-04-13T07:25:00Z</dcterms:modified>
</cp:coreProperties>
</file>